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南海开放大学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货物、服务采购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审批表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715"/>
        <w:gridCol w:w="550"/>
        <w:gridCol w:w="1558"/>
        <w:gridCol w:w="1025"/>
        <w:gridCol w:w="1279"/>
        <w:gridCol w:w="1360"/>
        <w:gridCol w:w="1236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申请部门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申请购物原因与用途</w:t>
            </w:r>
          </w:p>
        </w:tc>
        <w:tc>
          <w:tcPr>
            <w:tcW w:w="864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货物（服务）名称、规格、型号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估计单价（元）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合计金额(大写)</w:t>
            </w:r>
          </w:p>
        </w:tc>
        <w:tc>
          <w:tcPr>
            <w:tcW w:w="3862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0"/>
                <w:tab w:val="left" w:pos="240"/>
                <w:tab w:val="left" w:pos="270"/>
                <w:tab w:val="left" w:pos="707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（小写）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Style w:val="5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主管部门审批意见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35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320" w:firstLineChars="19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 明</w:t>
            </w:r>
          </w:p>
        </w:tc>
        <w:tc>
          <w:tcPr>
            <w:tcW w:w="8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1.审批权限：2000元以下部门负责人审批，5000元以下主管副校长审批，5000元以上校长审批,50000元以上要走学校立项程序。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2.IT类物品、服务：由支持服务中心集中采购；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3.非IT类物品、维修服务：集中采购和公开招标由总务部门组织实施，普通文具、笔、清洁用品等常用办公用品由总务部门负责集中采购，广告宣传由办公室负责集中采购，其他项目由各部门自主采购。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48CA"/>
    <w:rsid w:val="6BEC31A3"/>
    <w:rsid w:val="7C5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2021-03-05T06:27:00Z</dcterms:created>
  <dc:creator>珞珈晓岚</dc:creator>
  <cp:lastModifiedBy>Administrator</cp:lastModifiedBy>
  <dcterms:modified xsi:type="dcterms:W3CDTF">2021-03-09T07:47:57Z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